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5366E" w14:textId="7DE2291C" w:rsidR="002007F6" w:rsidRDefault="002007F6"/>
    <w:p w14:paraId="6850089C" w14:textId="16BE1352" w:rsidR="00802801" w:rsidRDefault="00802801"/>
    <w:p w14:paraId="67318AB0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val="es-ES"/>
        </w:rPr>
      </w:pPr>
      <w:r w:rsidRPr="00FC2030">
        <w:rPr>
          <w:rFonts w:ascii="Arial" w:eastAsia="Times New Roman" w:hAnsi="Arial" w:cs="Arial"/>
          <w:b/>
          <w:bCs/>
          <w:kern w:val="36"/>
          <w:sz w:val="32"/>
          <w:szCs w:val="32"/>
          <w:lang w:val="es-ES"/>
        </w:rPr>
        <w:t>Agua, infraestructura e inversión: sinergias entre la agricultura y la minería para el desarrollo territorial</w:t>
      </w:r>
    </w:p>
    <w:p w14:paraId="72A276F9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es-ES"/>
        </w:rPr>
      </w:pPr>
      <w:r w:rsidRPr="00FC2030">
        <w:rPr>
          <w:rFonts w:ascii="Arial" w:eastAsia="Times New Roman" w:hAnsi="Arial" w:cs="Arial"/>
          <w:b/>
          <w:bCs/>
          <w:sz w:val="20"/>
          <w:szCs w:val="20"/>
          <w:lang w:val="es-ES"/>
        </w:rPr>
        <w:t>Juan Pérez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t xml:space="preserve"> – </w:t>
      </w:r>
      <w:r w:rsidRPr="00FC2030">
        <w:rPr>
          <w:rFonts w:ascii="Arial" w:eastAsia="Times New Roman" w:hAnsi="Arial" w:cs="Arial"/>
          <w:i/>
          <w:iCs/>
          <w:sz w:val="20"/>
          <w:szCs w:val="20"/>
          <w:lang w:val="es-ES"/>
        </w:rPr>
        <w:t>Compañía Minera Andina, Perú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br/>
      </w:r>
      <w:r w:rsidRPr="00FC2030">
        <w:rPr>
          <w:rFonts w:ascii="Arial" w:eastAsia="Times New Roman" w:hAnsi="Arial" w:cs="Arial"/>
          <w:b/>
          <w:bCs/>
          <w:sz w:val="20"/>
          <w:szCs w:val="20"/>
          <w:lang w:val="es-ES"/>
        </w:rPr>
        <w:t>María Rodríguez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t xml:space="preserve"> – </w:t>
      </w:r>
      <w:r w:rsidRPr="00FC2030">
        <w:rPr>
          <w:rFonts w:ascii="Arial" w:eastAsia="Times New Roman" w:hAnsi="Arial" w:cs="Arial"/>
          <w:i/>
          <w:iCs/>
          <w:sz w:val="20"/>
          <w:szCs w:val="20"/>
          <w:lang w:val="es-ES"/>
        </w:rPr>
        <w:t>Asociación de Productores Agrícolas del Valle, Perú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br/>
      </w:r>
      <w:r w:rsidRPr="00FC2030">
        <w:rPr>
          <w:rFonts w:ascii="Arial" w:eastAsia="Times New Roman" w:hAnsi="Arial" w:cs="Arial"/>
          <w:b/>
          <w:bCs/>
          <w:sz w:val="20"/>
          <w:szCs w:val="20"/>
          <w:lang w:val="es-ES"/>
        </w:rPr>
        <w:t>Carlos Torres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t xml:space="preserve"> – </w:t>
      </w:r>
      <w:r w:rsidRPr="00FC2030">
        <w:rPr>
          <w:rFonts w:ascii="Arial" w:eastAsia="Times New Roman" w:hAnsi="Arial" w:cs="Arial"/>
          <w:i/>
          <w:iCs/>
          <w:sz w:val="20"/>
          <w:szCs w:val="20"/>
          <w:lang w:val="es-ES"/>
        </w:rPr>
        <w:t>Universidad Nacional de Ingeniería, Perú</w:t>
      </w:r>
    </w:p>
    <w:p w14:paraId="5DBB2405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Eje Temático: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Agro y Minería: Sinergias que impulsan el desarrollo</w:t>
      </w:r>
    </w:p>
    <w:p w14:paraId="6F61AD81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Palabras clave: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agricultura, minería, agua, infraestructura, inversión, productividad, desarrollo territorial.</w:t>
      </w:r>
    </w:p>
    <w:p w14:paraId="114A17F7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Resumen Técnico</w:t>
      </w:r>
    </w:p>
    <w:p w14:paraId="628619FF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2B32AA" wp14:editId="6943896F">
                <wp:simplePos x="0" y="0"/>
                <wp:positionH relativeFrom="column">
                  <wp:posOffset>0</wp:posOffset>
                </wp:positionH>
                <wp:positionV relativeFrom="paragraph">
                  <wp:posOffset>800735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E495E7" w14:textId="77777777" w:rsidR="009D1CBE" w:rsidRPr="000D1155" w:rsidRDefault="009D1CBE" w:rsidP="009D1C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D1155"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  <w:t xml:space="preserve">DOCUMENTO SIN VALIDEZ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2B32A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63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" filled="f" stroked="f">
                <v:textbox style="mso-fit-shape-to-text:t">
                  <w:txbxContent>
                    <w:p w14:paraId="4BE495E7" w14:textId="77777777" w:rsidR="009D1CBE" w:rsidRPr="000D1155" w:rsidRDefault="009D1CBE" w:rsidP="009D1C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</w:pPr>
                      <w:r w:rsidRPr="000D1155"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  <w:t xml:space="preserve">DOCUMENTO SIN VALIDEZ </w:t>
                      </w:r>
                    </w:p>
                  </w:txbxContent>
                </v:textbox>
              </v:shape>
            </w:pict>
          </mc:Fallback>
        </mc:AlternateConten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>La agricultura y la minería son actividades que comparten territorio, recursos y oportunidades de desarrollo. Su convivencia ha generado históricamente desafíos relacionados con el uso del agua, la infraestructura y las dinámicas económicas locales, pero también ha permitido identificar espacios de colaboración capaces de generar beneficios para diferentes actores del territorio.</w:t>
      </w:r>
    </w:p>
    <w:p w14:paraId="4DA03F7A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El presente trabajo analiza una experiencia de articulación entre una empresa minera y organizaciones de productores agrícolas orientada a mejorar la gestión del agua y fortalecer la infraestructura productiva de una zona rural. La iniciativa surgió a partir de la identificación de necesidades comunes y de la oportunidad de aprovechar inversiones para generar condiciones que favorezcan tanto la actividad agrícola como el desarrollo económico local.</w:t>
      </w:r>
    </w:p>
    <w:p w14:paraId="17AFFE1E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intervención contempló el mejoramiento de infraestructura para el almacenamiento y conducción de agua, acciones para optimizar su uso y el fortalecimiento de capacidades productivas de los agricultores. Estas medidas fueron acompañadas por mecanismos de coordinación entre la empresa, productores, autoridades locales y otros actores del territorio.</w:t>
      </w:r>
    </w:p>
    <w:p w14:paraId="55B493B9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experiencia muestra que la articulación entre agricultura y minería puede trascender la relación tradicional entre ambas actividades y convertirse en una oportunidad para impulsar inversiones que generen beneficios compartidos. Asimismo, evidencia que la infraestructura y la gestión eficiente del agua pueden constituir elementos articuladores para mejorar la productividad y fortalecer las actividades económicas locales.</w:t>
      </w:r>
    </w:p>
    <w:p w14:paraId="0B93FD59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1. Introducción</w:t>
      </w:r>
    </w:p>
    <w:p w14:paraId="476AEA57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coexistencia de actividades agrícolas y mineras en un mismo territorio plantea la necesidad de generar mecanismos de diálogo, coordinación y cooperación que permitan gestionar adecuadamente los recursos y aprovechar oportunidades de desarrollo.</w:t>
      </w:r>
    </w:p>
    <w:p w14:paraId="6BACEF7C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lastRenderedPageBreak/>
        <w:t>En este contexto, el agua y la infraestructura constituyen elementos estratégicos. Las inversiones orientadas a mejorar su disponibilidad, eficiencia y conectividad pueden contribuir a reducir brechas productivas y generar condiciones favorables para el desarrollo de las comunidades y actividades económicas locales.</w:t>
      </w:r>
    </w:p>
    <w:p w14:paraId="646C46C1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2. Articulación para el desarrollo territorial</w:t>
      </w:r>
    </w:p>
    <w:p w14:paraId="28E34ABB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experiencia presentada demuestra que la identificación de objetivos comunes puede generar oportunidades de colaboración entre la agricultura y la minería. La participación de productores y actores locales permitió priorizar necesidades y orientar las inversiones hacia intervenciones con impacto productivo y territorial.</w:t>
      </w:r>
    </w:p>
    <w:p w14:paraId="32B6C200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FC53D2" wp14:editId="112879BB">
                <wp:simplePos x="0" y="0"/>
                <wp:positionH relativeFrom="column">
                  <wp:posOffset>0</wp:posOffset>
                </wp:positionH>
                <wp:positionV relativeFrom="paragraph">
                  <wp:posOffset>379095</wp:posOffset>
                </wp:positionV>
                <wp:extent cx="1828800" cy="18288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83D38F" w14:textId="77777777" w:rsidR="009D1CBE" w:rsidRPr="000D1155" w:rsidRDefault="009D1CBE" w:rsidP="009D1C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D1155"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  <w:t xml:space="preserve">DOCUMENTO SIN VALIDEZ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C53D2" id="Text Box 5" o:spid="_x0000_s1027" type="#_x0000_t202" style="position:absolute;left:0;text-align:left;margin-left:0;margin-top:29.8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" filled="f" stroked="f">
                <v:textbox style="mso-fit-shape-to-text:t">
                  <w:txbxContent>
                    <w:p w14:paraId="0883D38F" w14:textId="77777777" w:rsidR="009D1CBE" w:rsidRPr="000D1155" w:rsidRDefault="009D1CBE" w:rsidP="009D1C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</w:pPr>
                      <w:r w:rsidRPr="000D1155"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  <w:t xml:space="preserve">DOCUMENTO SIN VALIDEZ </w:t>
                      </w:r>
                    </w:p>
                  </w:txbxContent>
                </v:textbox>
              </v:shape>
            </w:pict>
          </mc:Fallback>
        </mc:AlternateConten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>El mejoramiento de la infraestructura hídrica permitió fortalecer las condiciones para el desarrollo agrícola, mientras que las acciones de capacitación contribuyeron a mejorar el aprovechamiento de las inversiones realizadas.</w:t>
      </w:r>
    </w:p>
    <w:p w14:paraId="283D3A37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2.1. Principales resultados y aprendizajes</w:t>
      </w:r>
    </w:p>
    <w:p w14:paraId="4FEF1D02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experiencia permitió identificar tres factores relevantes para una articulación sostenible:</w:t>
      </w:r>
    </w:p>
    <w:p w14:paraId="2338A514" w14:textId="77777777" w:rsidR="009D1CBE" w:rsidRPr="00FC2030" w:rsidRDefault="009D1CBE" w:rsidP="009D1CB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Gestión del agua: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mejorar la eficiencia y disponibilidad del recurso genera beneficios para la actividad agrícola y contribuye a una gestión territorial más eficiente.</w:t>
      </w:r>
    </w:p>
    <w:p w14:paraId="4F21B174" w14:textId="77777777" w:rsidR="009D1CBE" w:rsidRPr="00FC2030" w:rsidRDefault="009D1CBE" w:rsidP="009D1CB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Infraestructura: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las inversiones en infraestructura pueden convertirse en habilitadores de nuevas oportunidades productivas y de conexión con los mercados.</w:t>
      </w:r>
    </w:p>
    <w:p w14:paraId="5AA18A07" w14:textId="77777777" w:rsidR="009D1CBE" w:rsidRPr="00FC2030" w:rsidRDefault="009D1CBE" w:rsidP="009D1CB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Coordinación e inversión: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la participación conjunta de empresas, productores, autoridades y otros actores permite orientar las inversiones hacia objetivos compartidos.</w:t>
      </w:r>
    </w:p>
    <w:p w14:paraId="0239150D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3. Conclusiones</w:t>
      </w:r>
    </w:p>
    <w:p w14:paraId="62E9336A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relación entre agricultura y minería presenta desafíos, pero también importantes oportunidades de articulación. Las experiencias de colaboración muestran que la gestión del agua, el desarrollo de infraestructura y la inversión pueden constituir herramientas para generar productividad y contribuir al desarrollo territorial.</w:t>
      </w:r>
    </w:p>
    <w:p w14:paraId="27666358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Más allá de las necesidades particulares de cada actividad, la identificación de objetivos comunes permite construir iniciativas que generen beneficios compartidos y fortalezcan las capacidades productivas del territorio.</w:t>
      </w:r>
    </w:p>
    <w:p w14:paraId="1DFDFECA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La experiencia analizada demuestra que </w:t>
      </w: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agricultura y minería pueden pasar de compartir un territorio a compartir oportunidades de desarrollo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>, cuando existen mecanismos de articulación, visión de largo plazo y participación de los actores locales.</w:t>
      </w:r>
    </w:p>
    <w:p w14:paraId="34243A5D" w14:textId="77777777" w:rsidR="009D1CBE" w:rsidRPr="009D1CBE" w:rsidRDefault="009D1CBE" w:rsidP="009D1CB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36"/>
          <w:szCs w:val="36"/>
          <w:lang w:val="es-ES"/>
        </w:rPr>
      </w:pPr>
    </w:p>
    <w:p w14:paraId="6CDFD75A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n-U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n-US"/>
        </w:rPr>
        <w:t xml:space="preserve">4. </w:t>
      </w:r>
      <w:proofErr w:type="spellStart"/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n-US"/>
        </w:rPr>
        <w:t>Bibliografía</w:t>
      </w:r>
      <w:proofErr w:type="spellEnd"/>
    </w:p>
    <w:p w14:paraId="6255822B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n-US"/>
        </w:rPr>
        <w:t xml:space="preserve">Food and Agriculture Organization of the United Nations (FAO). 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>Documentos técnicos sobre gestión sostenible del agua y desarrollo agrícola.</w:t>
      </w:r>
    </w:p>
    <w:p w14:paraId="056F89CF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Autoridad Nacional del Agua (ANA). Documentos técnicos sobre gestión integrada de los recursos hídricos.</w:t>
      </w:r>
    </w:p>
    <w:p w14:paraId="23068A0A" w14:textId="77777777" w:rsidR="009D1CBE" w:rsidRPr="00FC2030" w:rsidRDefault="009D1CBE" w:rsidP="009D1C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Ministerio de Desarrollo Agrario y Riego (MIDAGRI). Documentos sobre infraestructura y desarrollo productivo agrario.</w:t>
      </w:r>
    </w:p>
    <w:p w14:paraId="14F80025" w14:textId="3B1986F5" w:rsidR="00464DA2" w:rsidRPr="00464DA2" w:rsidRDefault="009D1CBE" w:rsidP="009D1CBE">
      <w:pPr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D2B7A0" wp14:editId="26DB53E9">
                <wp:simplePos x="0" y="0"/>
                <wp:positionH relativeFrom="column">
                  <wp:posOffset>0</wp:posOffset>
                </wp:positionH>
                <wp:positionV relativeFrom="paragraph">
                  <wp:posOffset>856615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2C12AF" w14:textId="77777777" w:rsidR="009D1CBE" w:rsidRPr="000D1155" w:rsidRDefault="009D1CBE" w:rsidP="009D1C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D1155"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  <w:t xml:space="preserve">DOCUMENTO SIN VALIDEZ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2B7A0" id="Text Box 6" o:spid="_x0000_s1028" type="#_x0000_t202" style="position:absolute;margin-left:0;margin-top:67.4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" filled="f" stroked="f">
                <v:textbox style="mso-fit-shape-to-text:t">
                  <w:txbxContent>
                    <w:p w14:paraId="792C12AF" w14:textId="77777777" w:rsidR="009D1CBE" w:rsidRPr="000D1155" w:rsidRDefault="009D1CBE" w:rsidP="009D1C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</w:pPr>
                      <w:r w:rsidRPr="000D1155"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  <w:t xml:space="preserve">DOCUMENTO SIN VALIDEZ </w:t>
                      </w:r>
                    </w:p>
                  </w:txbxContent>
                </v:textbox>
              </v:shape>
            </w:pict>
          </mc:Fallback>
        </mc:AlternateContent>
      </w:r>
      <w:r w:rsidRPr="000D1155">
        <w:rPr>
          <w:rFonts w:ascii="Arial" w:hAnsi="Arial" w:cs="Arial"/>
          <w:b/>
          <w:i/>
          <w:sz w:val="18"/>
          <w:u w:val="single"/>
          <w:lang w:val="es-ES"/>
        </w:rPr>
        <w:t>DOCUMENTO REALIZADO POR IN</w:t>
      </w:r>
      <w:r>
        <w:rPr>
          <w:rFonts w:ascii="Arial" w:hAnsi="Arial" w:cs="Arial"/>
          <w:b/>
          <w:i/>
          <w:sz w:val="18"/>
          <w:u w:val="single"/>
          <w:lang w:val="es-ES"/>
        </w:rPr>
        <w:t>TELIGENCIA ARTIFICIAL COMO EJEMPLO.</w:t>
      </w:r>
      <w:bookmarkStart w:id="0" w:name="_GoBack"/>
      <w:bookmarkEnd w:id="0"/>
    </w:p>
    <w:sectPr w:rsidR="00464DA2" w:rsidRPr="00464DA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95CA3" w14:textId="77777777" w:rsidR="00D52623" w:rsidRDefault="00D52623" w:rsidP="00FF2A3C">
      <w:pPr>
        <w:spacing w:after="0" w:line="240" w:lineRule="auto"/>
      </w:pPr>
      <w:r>
        <w:separator/>
      </w:r>
    </w:p>
  </w:endnote>
  <w:endnote w:type="continuationSeparator" w:id="0">
    <w:p w14:paraId="3389E01D" w14:textId="77777777" w:rsidR="00D52623" w:rsidRDefault="00D52623" w:rsidP="00FF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615AC" w14:textId="77777777" w:rsidR="00D52623" w:rsidRDefault="00D52623" w:rsidP="00FF2A3C">
      <w:pPr>
        <w:spacing w:after="0" w:line="240" w:lineRule="auto"/>
      </w:pPr>
      <w:r>
        <w:separator/>
      </w:r>
    </w:p>
  </w:footnote>
  <w:footnote w:type="continuationSeparator" w:id="0">
    <w:p w14:paraId="14C8477E" w14:textId="77777777" w:rsidR="00D52623" w:rsidRDefault="00D52623" w:rsidP="00FF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5D6E5" w14:textId="59214DC7" w:rsidR="00FF2A3C" w:rsidRDefault="00BC25E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2A33B1" wp14:editId="7557A25D">
          <wp:simplePos x="0" y="0"/>
          <wp:positionH relativeFrom="margin">
            <wp:posOffset>-1100455</wp:posOffset>
          </wp:positionH>
          <wp:positionV relativeFrom="paragraph">
            <wp:posOffset>-502920</wp:posOffset>
          </wp:positionV>
          <wp:extent cx="7597140" cy="10741770"/>
          <wp:effectExtent l="0" t="0" r="381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140" cy="1074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006EF"/>
    <w:multiLevelType w:val="hybridMultilevel"/>
    <w:tmpl w:val="610691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54227"/>
    <w:multiLevelType w:val="hybridMultilevel"/>
    <w:tmpl w:val="3FDC5A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D0890"/>
    <w:multiLevelType w:val="hybridMultilevel"/>
    <w:tmpl w:val="4F8C26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11896"/>
    <w:multiLevelType w:val="hybridMultilevel"/>
    <w:tmpl w:val="424233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B499D"/>
    <w:multiLevelType w:val="hybridMultilevel"/>
    <w:tmpl w:val="E62CCF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143AB"/>
    <w:multiLevelType w:val="hybridMultilevel"/>
    <w:tmpl w:val="E544F7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F6241"/>
    <w:multiLevelType w:val="hybridMultilevel"/>
    <w:tmpl w:val="AAFAE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850F1"/>
    <w:multiLevelType w:val="multilevel"/>
    <w:tmpl w:val="D55C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584FF3"/>
    <w:multiLevelType w:val="hybridMultilevel"/>
    <w:tmpl w:val="BF10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F1"/>
    <w:rsid w:val="002007F6"/>
    <w:rsid w:val="00464DA2"/>
    <w:rsid w:val="00802801"/>
    <w:rsid w:val="009D1CBE"/>
    <w:rsid w:val="00A255A2"/>
    <w:rsid w:val="00A572F1"/>
    <w:rsid w:val="00BC25E9"/>
    <w:rsid w:val="00C26DB8"/>
    <w:rsid w:val="00D52623"/>
    <w:rsid w:val="00E72F83"/>
    <w:rsid w:val="00EC5B1C"/>
    <w:rsid w:val="00FC1CFE"/>
    <w:rsid w:val="00FF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C7387"/>
  <w15:chartTrackingRefBased/>
  <w15:docId w15:val="{96729D4E-BF3B-4B4A-BC32-3B792813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028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A3C"/>
  </w:style>
  <w:style w:type="paragraph" w:styleId="Footer">
    <w:name w:val="footer"/>
    <w:basedOn w:val="Normal"/>
    <w:link w:val="FooterChar"/>
    <w:uiPriority w:val="99"/>
    <w:unhideWhenUsed/>
    <w:rsid w:val="00FF2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A3C"/>
  </w:style>
  <w:style w:type="character" w:customStyle="1" w:styleId="Heading3Char">
    <w:name w:val="Heading 3 Char"/>
    <w:basedOn w:val="DefaultParagraphFont"/>
    <w:link w:val="Heading3"/>
    <w:uiPriority w:val="9"/>
    <w:rsid w:val="00802801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ListParagraph">
    <w:name w:val="List Paragraph"/>
    <w:basedOn w:val="Normal"/>
    <w:uiPriority w:val="34"/>
    <w:qFormat/>
    <w:rsid w:val="00802801"/>
    <w:pPr>
      <w:spacing w:after="200" w:line="276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02801"/>
    <w:pPr>
      <w:widowControl w:val="0"/>
      <w:autoSpaceDE w:val="0"/>
      <w:autoSpaceDN w:val="0"/>
      <w:spacing w:after="0" w:line="240" w:lineRule="auto"/>
      <w:ind w:left="102"/>
    </w:pPr>
    <w:rPr>
      <w:rFonts w:ascii="Calibri" w:eastAsia="Calibri" w:hAnsi="Calibri" w:cs="Calibri"/>
      <w:lang w:val="es-ES"/>
    </w:rPr>
  </w:style>
  <w:style w:type="character" w:customStyle="1" w:styleId="BodyTextChar">
    <w:name w:val="Body Text Char"/>
    <w:basedOn w:val="DefaultParagraphFont"/>
    <w:link w:val="BodyText"/>
    <w:uiPriority w:val="1"/>
    <w:rsid w:val="00802801"/>
    <w:rPr>
      <w:rFonts w:ascii="Calibri" w:eastAsia="Calibri" w:hAnsi="Calibri" w:cs="Calibri"/>
      <w:lang w:val="es-ES"/>
    </w:rPr>
  </w:style>
  <w:style w:type="character" w:styleId="Strong">
    <w:name w:val="Strong"/>
    <w:basedOn w:val="DefaultParagraphFont"/>
    <w:uiPriority w:val="22"/>
    <w:qFormat/>
    <w:rsid w:val="008028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2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electedend">
    <w:name w:val="isselectedend"/>
    <w:basedOn w:val="Normal"/>
    <w:rsid w:val="00802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02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s">
    <w:name w:val="Authors"/>
    <w:basedOn w:val="Normal"/>
    <w:rsid w:val="00464DA2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pablogabrielromero09@gmail.com</dc:creator>
  <cp:keywords/>
  <dc:description/>
  <cp:lastModifiedBy>Microsoft Office User</cp:lastModifiedBy>
  <cp:revision>2</cp:revision>
  <dcterms:created xsi:type="dcterms:W3CDTF">2026-10-06T02:21:00Z</dcterms:created>
  <dcterms:modified xsi:type="dcterms:W3CDTF">2026-10-06T02:21:00Z</dcterms:modified>
</cp:coreProperties>
</file>