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9F655" w14:textId="5188A35C" w:rsidR="00330397" w:rsidRDefault="00330397"/>
    <w:p w14:paraId="01EFD2B2" w14:textId="675FBE19" w:rsidR="00F21FD1" w:rsidRPr="00FC2030" w:rsidRDefault="00F21FD1" w:rsidP="00FC2030">
      <w:pPr>
        <w:jc w:val="both"/>
        <w:rPr>
          <w:rFonts w:ascii="Arial" w:hAnsi="Arial" w:cs="Arial"/>
        </w:rPr>
      </w:pPr>
    </w:p>
    <w:p w14:paraId="61F497D2" w14:textId="06D55355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val="es-ES"/>
        </w:rPr>
      </w:pPr>
      <w:bookmarkStart w:id="0" w:name="_GoBack"/>
      <w:bookmarkEnd w:id="0"/>
      <w:r w:rsidRPr="00FC2030">
        <w:rPr>
          <w:rFonts w:ascii="Arial" w:eastAsia="Times New Roman" w:hAnsi="Arial" w:cs="Arial"/>
          <w:b/>
          <w:bCs/>
          <w:kern w:val="36"/>
          <w:sz w:val="32"/>
          <w:szCs w:val="32"/>
          <w:lang w:val="es-ES"/>
        </w:rPr>
        <w:t>Agua, infraestructura e inversión: sinergias entre la agricultura y la minería para el desarrollo territorial</w:t>
      </w:r>
    </w:p>
    <w:p w14:paraId="7F713C56" w14:textId="1E7A7239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es-ES"/>
        </w:rPr>
      </w:pP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Juan Pérez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Compañía Minera Andina, Perú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br/>
      </w: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María Rodríguez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Asociación de Productores Agrícolas del Valle, Perú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br/>
      </w:r>
      <w:r w:rsidRPr="00FC2030">
        <w:rPr>
          <w:rFonts w:ascii="Arial" w:eastAsia="Times New Roman" w:hAnsi="Arial" w:cs="Arial"/>
          <w:b/>
          <w:bCs/>
          <w:sz w:val="20"/>
          <w:szCs w:val="20"/>
          <w:lang w:val="es-ES"/>
        </w:rPr>
        <w:t>Carlos Torres</w:t>
      </w:r>
      <w:r w:rsidRPr="00FC2030">
        <w:rPr>
          <w:rFonts w:ascii="Arial" w:eastAsia="Times New Roman" w:hAnsi="Arial" w:cs="Arial"/>
          <w:sz w:val="20"/>
          <w:szCs w:val="20"/>
          <w:lang w:val="es-ES"/>
        </w:rPr>
        <w:t xml:space="preserve"> – </w:t>
      </w:r>
      <w:r w:rsidRPr="00FC2030">
        <w:rPr>
          <w:rFonts w:ascii="Arial" w:eastAsia="Times New Roman" w:hAnsi="Arial" w:cs="Arial"/>
          <w:i/>
          <w:iCs/>
          <w:sz w:val="20"/>
          <w:szCs w:val="20"/>
          <w:lang w:val="es-ES"/>
        </w:rPr>
        <w:t>Universidad Nacional de Ingeniería, Perú</w:t>
      </w:r>
    </w:p>
    <w:p w14:paraId="3624A268" w14:textId="0F5BF886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Eje Temático: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Agro y Minería: Sinergias que impulsan el desarrollo</w:t>
      </w:r>
    </w:p>
    <w:p w14:paraId="367750AA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Palabras clave: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agricultura, minería, agua, infraestructura, inversión, productividad, desarrollo territorial.</w:t>
      </w:r>
    </w:p>
    <w:p w14:paraId="1A5E5E48" w14:textId="0B7CBDF1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Resumen Técnico</w:t>
      </w:r>
    </w:p>
    <w:p w14:paraId="31539F70" w14:textId="5F0CBBD8" w:rsidR="00FC2030" w:rsidRPr="00FC2030" w:rsidRDefault="000D1155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72B41" wp14:editId="106845C5">
                <wp:simplePos x="0" y="0"/>
                <wp:positionH relativeFrom="column">
                  <wp:posOffset>0</wp:posOffset>
                </wp:positionH>
                <wp:positionV relativeFrom="paragraph">
                  <wp:posOffset>800735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E0B99" w14:textId="3F6EB0B8" w:rsidR="000D1155" w:rsidRPr="000D1155" w:rsidRDefault="000D1155" w:rsidP="000D115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772B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3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" filled="f" stroked="f">
                <v:textbox style="mso-fit-shape-to-text:t">
                  <w:txbxContent>
                    <w:p w14:paraId="79AE0B99" w14:textId="3F6EB0B8" w:rsidR="000D1155" w:rsidRPr="000D1155" w:rsidRDefault="000D1155" w:rsidP="000D115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="00FC2030" w:rsidRPr="00FC2030">
        <w:rPr>
          <w:rFonts w:ascii="Arial" w:eastAsia="Times New Roman" w:hAnsi="Arial" w:cs="Arial"/>
          <w:sz w:val="24"/>
          <w:szCs w:val="24"/>
          <w:lang w:val="es-ES"/>
        </w:rPr>
        <w:t>La agricultura y la minería son actividades que comparten territorio, recursos y oportunidades de desarrollo. Su convivencia ha generado históricamente desafíos relacionados con el uso del agua, la infraestructura y las dinámicas económicas locales, pero también ha permitido identificar espacios de colaboración capaces de generar beneficios para diferentes actores del territorio.</w:t>
      </w:r>
    </w:p>
    <w:p w14:paraId="701856C3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El presente trabajo analiza una experiencia de articulación entre una empresa minera y organizaciones de productores agrícolas orientada a mejorar la gestión del agua y fortalecer la infraestructura productiva de una zona rural. La iniciativa surgió a partir de la identificación de necesidades comunes y de la oportunidad de aprovechar inversiones para generar condiciones que favorezcan tanto la actividad agrícola como el desarrollo económico local.</w:t>
      </w:r>
    </w:p>
    <w:p w14:paraId="70C57730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intervención contempló el mejoramiento de infraestructura para el almacenamiento y conducción de agua, acciones para optimizar su uso y el fortalecimiento de capacidades productivas de los agricultores. Estas medidas fueron acompañadas por mecanismos de coordinación entre la empresa, productores, autoridades locales y otros actores del territorio.</w:t>
      </w:r>
    </w:p>
    <w:p w14:paraId="627A727C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muestra que la articulación entre agricultura y minería puede trascender la relación tradicional entre ambas actividades y convertirse en una oportunidad para impulsar inversiones que generen beneficios compartidos. Asimismo, evidencia que la infraestructura y la gestión eficiente del agua pueden constituir elementos articuladores para mejorar la productividad y fortalecer las actividades económicas locales.</w:t>
      </w:r>
    </w:p>
    <w:p w14:paraId="0E86D73E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1. Introducción</w:t>
      </w:r>
    </w:p>
    <w:p w14:paraId="65FC10FB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coexistencia de actividades agrícolas y mineras en un mismo territorio plantea la necesidad de generar mecanismos de diálogo, coordinación y cooperación que permitan gestionar adecuadamente los recursos y aprovechar oportunidades de desarrollo.</w:t>
      </w:r>
    </w:p>
    <w:p w14:paraId="12245483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lastRenderedPageBreak/>
        <w:t>En este contexto, el agua y la infraestructura constituyen elementos estratégicos. Las inversiones orientadas a mejorar su disponibilidad, eficiencia y conectividad pueden contribuir a reducir brechas productivas y generar condiciones favorables para el desarrollo de las comunidades y actividades económicas locales.</w:t>
      </w:r>
    </w:p>
    <w:p w14:paraId="16CAEB93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2. Articulación para el desarrollo territorial</w:t>
      </w:r>
    </w:p>
    <w:p w14:paraId="01BC32E9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presentada demuestra que la identificación de objetivos comunes puede generar oportunidades de colaboración entre la agricultura y la minería. La participación de productores y actores locales permitió priorizar necesidades y orientar las inversiones hacia intervenciones con impacto productivo y territorial.</w:t>
      </w:r>
    </w:p>
    <w:p w14:paraId="2BF9B338" w14:textId="099E71D5" w:rsidR="00FC2030" w:rsidRPr="00FC2030" w:rsidRDefault="000D1155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667F52" wp14:editId="0C8B6858">
                <wp:simplePos x="0" y="0"/>
                <wp:positionH relativeFrom="column">
                  <wp:posOffset>0</wp:posOffset>
                </wp:positionH>
                <wp:positionV relativeFrom="paragraph">
                  <wp:posOffset>379095</wp:posOffset>
                </wp:positionV>
                <wp:extent cx="1828800" cy="1828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14A6A7" w14:textId="77777777" w:rsidR="000D1155" w:rsidRPr="000D1155" w:rsidRDefault="000D1155" w:rsidP="000D115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67F52" id="Text Box 5" o:spid="_x0000_s1027" type="#_x0000_t202" style="position:absolute;left:0;text-align:left;margin-left:0;margin-top:29.8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" filled="f" stroked="f">
                <v:textbox style="mso-fit-shape-to-text:t">
                  <w:txbxContent>
                    <w:p w14:paraId="2214A6A7" w14:textId="77777777" w:rsidR="000D1155" w:rsidRPr="000D1155" w:rsidRDefault="000D1155" w:rsidP="000D115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="00FC2030" w:rsidRPr="00FC2030">
        <w:rPr>
          <w:rFonts w:ascii="Arial" w:eastAsia="Times New Roman" w:hAnsi="Arial" w:cs="Arial"/>
          <w:sz w:val="24"/>
          <w:szCs w:val="24"/>
          <w:lang w:val="es-ES"/>
        </w:rPr>
        <w:t>El mejoramiento de la infraestructura hídrica permitió fortalecer las condiciones para el desarrollo agrícola, mientras que las acciones de capacitación contribuyeron a mejorar el aprovechamiento de las inversiones realizadas.</w:t>
      </w:r>
    </w:p>
    <w:p w14:paraId="255D2305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2.1. Principales resultados y aprendizajes</w:t>
      </w:r>
    </w:p>
    <w:p w14:paraId="01153FBA" w14:textId="44ECDFDC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experiencia permitió identificar tres factores relevantes para una articulación sostenible:</w:t>
      </w:r>
    </w:p>
    <w:p w14:paraId="273A6BEF" w14:textId="25AA05E1" w:rsidR="00FC2030" w:rsidRPr="00FC2030" w:rsidRDefault="00FC2030" w:rsidP="00FC20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Gestión del agua: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mejorar la eficiencia y disponibilidad del recurso genera beneficios para la actividad agrícola y contribuye a una gestión territorial más eficiente.</w:t>
      </w:r>
    </w:p>
    <w:p w14:paraId="074B6D7F" w14:textId="7A917188" w:rsidR="00FC2030" w:rsidRPr="00FC2030" w:rsidRDefault="00FC2030" w:rsidP="00FC20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Infraestructura: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las inversiones en infraestructura pueden convertirse en habilitadores de nuevas oportunidades productivas y de conexión con los mercados.</w:t>
      </w:r>
    </w:p>
    <w:p w14:paraId="73B44C8E" w14:textId="1EFDCC97" w:rsidR="00FC2030" w:rsidRPr="00FC2030" w:rsidRDefault="00FC2030" w:rsidP="00FC20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Coordinación e inversión: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 la participación conjunta de empresas, productores, autoridades y otros actores permite orientar las inversiones hacia objetivos compartidos.</w:t>
      </w:r>
    </w:p>
    <w:p w14:paraId="66E9DA9C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s-ES"/>
        </w:rPr>
        <w:t>3. Conclusiones</w:t>
      </w:r>
    </w:p>
    <w:p w14:paraId="34746E03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La relación entre agricultura y minería presenta desafíos, pero también importantes oportunidades de articulación. Las experiencias de colaboración muestran que la gestión del agua, el desarrollo de infraestructura y la inversión pueden constituir herramientas para generar productividad y contribuir al desarrollo territorial.</w:t>
      </w:r>
    </w:p>
    <w:p w14:paraId="71AD2CAC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Más allá de las necesidades particulares de cada actividad, la identificación de objetivos comunes permite construir iniciativas que generen beneficios compartidos y fortalezcan las capacidades productivas del territorio.</w:t>
      </w:r>
    </w:p>
    <w:p w14:paraId="1B97BC8C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 xml:space="preserve">La experiencia analizada demuestra que </w:t>
      </w:r>
      <w:r w:rsidRPr="00FC2030">
        <w:rPr>
          <w:rFonts w:ascii="Arial" w:eastAsia="Times New Roman" w:hAnsi="Arial" w:cs="Arial"/>
          <w:b/>
          <w:bCs/>
          <w:sz w:val="24"/>
          <w:szCs w:val="24"/>
          <w:lang w:val="es-ES"/>
        </w:rPr>
        <w:t>agricultura y minería pueden pasar de compartir un territorio a compartir oportunidades de desarrollo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, cuando existen mecanismos de articulación, visión de largo plazo y participación de los actores locales.</w:t>
      </w:r>
    </w:p>
    <w:p w14:paraId="55509807" w14:textId="77777777" w:rsidR="000D1155" w:rsidRDefault="000D1155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36"/>
          <w:szCs w:val="36"/>
          <w:lang w:val="en-US"/>
        </w:rPr>
      </w:pPr>
    </w:p>
    <w:p w14:paraId="2728F64A" w14:textId="32235DAD" w:rsidR="00FC2030" w:rsidRPr="00FC2030" w:rsidRDefault="00FC2030" w:rsidP="00FC203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</w:pPr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  <w:t xml:space="preserve">4. </w:t>
      </w:r>
      <w:proofErr w:type="spellStart"/>
      <w:r w:rsidRPr="00FC2030">
        <w:rPr>
          <w:rFonts w:ascii="Arial" w:eastAsia="Times New Roman" w:hAnsi="Arial" w:cs="Arial"/>
          <w:b/>
          <w:bCs/>
          <w:i/>
          <w:sz w:val="28"/>
          <w:szCs w:val="28"/>
          <w:lang w:val="en-US"/>
        </w:rPr>
        <w:t>Bibliografía</w:t>
      </w:r>
      <w:proofErr w:type="spellEnd"/>
    </w:p>
    <w:p w14:paraId="697D4DE5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n-US"/>
        </w:rPr>
        <w:t xml:space="preserve">Food and Agriculture Organization of the United Nations (FAO). </w:t>
      </w:r>
      <w:r w:rsidRPr="00FC2030">
        <w:rPr>
          <w:rFonts w:ascii="Arial" w:eastAsia="Times New Roman" w:hAnsi="Arial" w:cs="Arial"/>
          <w:sz w:val="24"/>
          <w:szCs w:val="24"/>
          <w:lang w:val="es-ES"/>
        </w:rPr>
        <w:t>Documentos técnicos sobre gestión sostenible del agua y desarrollo agrícola.</w:t>
      </w:r>
    </w:p>
    <w:p w14:paraId="0722424E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Autoridad Nacional del Agua (ANA). Documentos técnicos sobre gestión integrada de los recursos hídricos.</w:t>
      </w:r>
    </w:p>
    <w:p w14:paraId="48566455" w14:textId="77777777" w:rsidR="00FC2030" w:rsidRPr="00FC2030" w:rsidRDefault="00FC2030" w:rsidP="00FC20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FC2030">
        <w:rPr>
          <w:rFonts w:ascii="Arial" w:eastAsia="Times New Roman" w:hAnsi="Arial" w:cs="Arial"/>
          <w:sz w:val="24"/>
          <w:szCs w:val="24"/>
          <w:lang w:val="es-ES"/>
        </w:rPr>
        <w:t>Ministerio de Desarrollo Agrario y Riego (MIDAGRI). Documentos sobre infraestructura y desarrollo productivo agrario.</w:t>
      </w:r>
    </w:p>
    <w:p w14:paraId="4A48E918" w14:textId="220D1951" w:rsidR="00C73E9D" w:rsidRPr="000D1155" w:rsidRDefault="000D1155" w:rsidP="00FC2030">
      <w:pPr>
        <w:jc w:val="both"/>
        <w:rPr>
          <w:rFonts w:ascii="Arial" w:hAnsi="Arial" w:cs="Arial"/>
          <w:b/>
          <w:i/>
          <w:sz w:val="18"/>
          <w:u w:val="single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910A78" wp14:editId="05E6D3AB">
                <wp:simplePos x="0" y="0"/>
                <wp:positionH relativeFrom="column">
                  <wp:posOffset>0</wp:posOffset>
                </wp:positionH>
                <wp:positionV relativeFrom="paragraph">
                  <wp:posOffset>856615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81BBF7" w14:textId="77777777" w:rsidR="000D1155" w:rsidRPr="000D1155" w:rsidRDefault="000D1155" w:rsidP="000D115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D115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74000"/>
                                    </w14:schemeClr>
                                  </w14:solidFill>
                                </w14:textFill>
                              </w:rPr>
                              <w:t xml:space="preserve">DOCUMENTO SIN VALIDEZ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10A78" id="Text Box 6" o:spid="_x0000_s1028" type="#_x0000_t202" style="position:absolute;left:0;text-align:left;margin-left:0;margin-top:67.4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" filled="f" stroked="f">
                <v:textbox style="mso-fit-shape-to-text:t">
                  <w:txbxContent>
                    <w:p w14:paraId="1E81BBF7" w14:textId="77777777" w:rsidR="000D1155" w:rsidRPr="000D1155" w:rsidRDefault="000D1155" w:rsidP="000D115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</w:pPr>
                      <w:r w:rsidRPr="000D115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74000"/>
                              </w14:schemeClr>
                            </w14:solidFill>
                          </w14:textFill>
                        </w:rPr>
                        <w:t xml:space="preserve">DOCUMENTO SIN VALIDEZ </w:t>
                      </w:r>
                    </w:p>
                  </w:txbxContent>
                </v:textbox>
              </v:shape>
            </w:pict>
          </mc:Fallback>
        </mc:AlternateContent>
      </w:r>
      <w:r w:rsidRPr="000D1155">
        <w:rPr>
          <w:rFonts w:ascii="Arial" w:hAnsi="Arial" w:cs="Arial"/>
          <w:b/>
          <w:i/>
          <w:sz w:val="18"/>
          <w:u w:val="single"/>
          <w:lang w:val="es-ES"/>
        </w:rPr>
        <w:t>DOCUMENTO REALIZADO POR INTELIGENCIA ARTIFICIAL PARA ESTE EJEMPLO.</w:t>
      </w:r>
    </w:p>
    <w:sectPr w:rsidR="00C73E9D" w:rsidRPr="000D1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CEF55" w14:textId="77777777" w:rsidR="00011974" w:rsidRDefault="00011974" w:rsidP="00E04732">
      <w:pPr>
        <w:spacing w:after="0" w:line="240" w:lineRule="auto"/>
      </w:pPr>
      <w:r>
        <w:separator/>
      </w:r>
    </w:p>
  </w:endnote>
  <w:endnote w:type="continuationSeparator" w:id="0">
    <w:p w14:paraId="11F3DD8C" w14:textId="77777777" w:rsidR="00011974" w:rsidRDefault="00011974" w:rsidP="00E0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374130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73AEAE" w14:textId="26C2AAEF" w:rsidR="003371FD" w:rsidRDefault="003371FD" w:rsidP="00273C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2A3351" w14:textId="77777777" w:rsidR="0052329D" w:rsidRDefault="0052329D" w:rsidP="003371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9843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3490A5" w14:textId="527EB7B9" w:rsidR="003371FD" w:rsidRDefault="003371FD" w:rsidP="00273C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C84F59" w14:textId="77777777" w:rsidR="0052329D" w:rsidRDefault="0052329D" w:rsidP="003371F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E92A0" w14:textId="77777777" w:rsidR="0052329D" w:rsidRDefault="00523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8E472" w14:textId="77777777" w:rsidR="00011974" w:rsidRDefault="00011974" w:rsidP="00E04732">
      <w:pPr>
        <w:spacing w:after="0" w:line="240" w:lineRule="auto"/>
      </w:pPr>
      <w:r>
        <w:separator/>
      </w:r>
    </w:p>
  </w:footnote>
  <w:footnote w:type="continuationSeparator" w:id="0">
    <w:p w14:paraId="57D3D1FF" w14:textId="77777777" w:rsidR="00011974" w:rsidRDefault="00011974" w:rsidP="00E04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0503D" w14:textId="77777777" w:rsidR="0052329D" w:rsidRDefault="005232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C6F8" w14:textId="6FED61AB" w:rsidR="00E04732" w:rsidRDefault="0052329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968C8D" wp14:editId="4983DB59">
          <wp:simplePos x="0" y="0"/>
          <wp:positionH relativeFrom="page">
            <wp:posOffset>0</wp:posOffset>
          </wp:positionH>
          <wp:positionV relativeFrom="paragraph">
            <wp:posOffset>725805</wp:posOffset>
          </wp:positionV>
          <wp:extent cx="7558405" cy="9511030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01"/>
                  <a:stretch/>
                </pic:blipFill>
                <pic:spPr bwMode="auto">
                  <a:xfrm>
                    <a:off x="0" y="0"/>
                    <a:ext cx="7558405" cy="9511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34A9474" wp14:editId="138F3552">
          <wp:simplePos x="0" y="0"/>
          <wp:positionH relativeFrom="page">
            <wp:posOffset>5987143</wp:posOffset>
          </wp:positionH>
          <wp:positionV relativeFrom="paragraph">
            <wp:posOffset>-460466</wp:posOffset>
          </wp:positionV>
          <wp:extent cx="1570899" cy="1251857"/>
          <wp:effectExtent l="0" t="0" r="0" b="571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215" b="88285"/>
                  <a:stretch/>
                </pic:blipFill>
                <pic:spPr bwMode="auto">
                  <a:xfrm>
                    <a:off x="0" y="0"/>
                    <a:ext cx="1571040" cy="125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0F8BD31" wp14:editId="00C8D3A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23655" cy="103632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580" b="90303"/>
                  <a:stretch/>
                </pic:blipFill>
                <pic:spPr bwMode="auto">
                  <a:xfrm>
                    <a:off x="0" y="0"/>
                    <a:ext cx="2223666" cy="103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A253E" w14:textId="77777777" w:rsidR="0052329D" w:rsidRDefault="00523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F6241"/>
    <w:multiLevelType w:val="hybridMultilevel"/>
    <w:tmpl w:val="AAFAE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850F1"/>
    <w:multiLevelType w:val="multilevel"/>
    <w:tmpl w:val="D55C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32"/>
    <w:rsid w:val="00011974"/>
    <w:rsid w:val="00066969"/>
    <w:rsid w:val="000D1155"/>
    <w:rsid w:val="00270606"/>
    <w:rsid w:val="00273C83"/>
    <w:rsid w:val="002C4C92"/>
    <w:rsid w:val="00330397"/>
    <w:rsid w:val="00335D86"/>
    <w:rsid w:val="003371FD"/>
    <w:rsid w:val="00341BF7"/>
    <w:rsid w:val="003608DA"/>
    <w:rsid w:val="003A6CF2"/>
    <w:rsid w:val="00476866"/>
    <w:rsid w:val="004E2E97"/>
    <w:rsid w:val="0052329D"/>
    <w:rsid w:val="0054347A"/>
    <w:rsid w:val="005836B2"/>
    <w:rsid w:val="006A633C"/>
    <w:rsid w:val="00835882"/>
    <w:rsid w:val="008827F4"/>
    <w:rsid w:val="008855F3"/>
    <w:rsid w:val="009B347F"/>
    <w:rsid w:val="00B202DD"/>
    <w:rsid w:val="00BB581A"/>
    <w:rsid w:val="00BB5D05"/>
    <w:rsid w:val="00C73E9D"/>
    <w:rsid w:val="00CD5506"/>
    <w:rsid w:val="00D817E0"/>
    <w:rsid w:val="00E04732"/>
    <w:rsid w:val="00E53346"/>
    <w:rsid w:val="00E72F83"/>
    <w:rsid w:val="00EE2256"/>
    <w:rsid w:val="00F21FD1"/>
    <w:rsid w:val="00FC1CFE"/>
    <w:rsid w:val="00FC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08D2D"/>
  <w15:chartTrackingRefBased/>
  <w15:docId w15:val="{F7DE2D3D-BE89-004F-BD23-9FFB2B75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20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FC20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FC20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732"/>
  </w:style>
  <w:style w:type="paragraph" w:styleId="Footer">
    <w:name w:val="footer"/>
    <w:basedOn w:val="Normal"/>
    <w:link w:val="FooterChar"/>
    <w:uiPriority w:val="99"/>
    <w:unhideWhenUsed/>
    <w:rsid w:val="00E04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732"/>
  </w:style>
  <w:style w:type="paragraph" w:customStyle="1" w:styleId="Authors">
    <w:name w:val="Authors"/>
    <w:basedOn w:val="Normal"/>
    <w:rsid w:val="00F21FD1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szCs w:val="24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3371FD"/>
  </w:style>
  <w:style w:type="paragraph" w:styleId="ListParagraph">
    <w:name w:val="List Paragraph"/>
    <w:basedOn w:val="Normal"/>
    <w:uiPriority w:val="34"/>
    <w:qFormat/>
    <w:rsid w:val="00341BF7"/>
    <w:pPr>
      <w:ind w:left="720"/>
      <w:contextualSpacing/>
    </w:pPr>
  </w:style>
  <w:style w:type="paragraph" w:customStyle="1" w:styleId="isselectedend">
    <w:name w:val="isselectedend"/>
    <w:basedOn w:val="Normal"/>
    <w:rsid w:val="00E5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53346"/>
    <w:rPr>
      <w:b/>
      <w:bCs/>
    </w:rPr>
  </w:style>
  <w:style w:type="paragraph" w:styleId="NormalWeb">
    <w:name w:val="Normal (Web)"/>
    <w:basedOn w:val="Normal"/>
    <w:uiPriority w:val="99"/>
    <w:unhideWhenUsed/>
    <w:rsid w:val="00E5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C2030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2030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203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Emphasis">
    <w:name w:val="Emphasis"/>
    <w:basedOn w:val="DefaultParagraphFont"/>
    <w:uiPriority w:val="20"/>
    <w:qFormat/>
    <w:rsid w:val="00FC20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pablogabrielromero09@gmail.com</dc:creator>
  <cp:keywords/>
  <dc:description/>
  <cp:lastModifiedBy>Microsoft Office User</cp:lastModifiedBy>
  <cp:revision>3</cp:revision>
  <dcterms:created xsi:type="dcterms:W3CDTF">2026-09-16T22:21:00Z</dcterms:created>
  <dcterms:modified xsi:type="dcterms:W3CDTF">2026-09-16T22:35:00Z</dcterms:modified>
</cp:coreProperties>
</file>